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64B" w:rsidRPr="007A30AA" w:rsidRDefault="00DD264B" w:rsidP="00DD264B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7A30AA">
        <w:rPr>
          <w:rFonts w:ascii="Times New Roman" w:hAnsi="Times New Roman" w:cs="Times New Roman"/>
        </w:rPr>
        <w:t>Паспорт</w:t>
      </w:r>
    </w:p>
    <w:p w:rsidR="00DD264B" w:rsidRPr="007A30AA" w:rsidRDefault="00DD264B" w:rsidP="00DD264B">
      <w:pPr>
        <w:pStyle w:val="ConsPlusTitle"/>
        <w:jc w:val="center"/>
        <w:rPr>
          <w:rFonts w:ascii="Times New Roman" w:hAnsi="Times New Roman" w:cs="Times New Roman"/>
        </w:rPr>
      </w:pPr>
      <w:r w:rsidRPr="007A30AA">
        <w:rPr>
          <w:rFonts w:ascii="Times New Roman" w:hAnsi="Times New Roman" w:cs="Times New Roman"/>
        </w:rPr>
        <w:t>государственной программы Ханты-Мансийского автономного</w:t>
      </w:r>
    </w:p>
    <w:p w:rsidR="00DD264B" w:rsidRPr="007A30AA" w:rsidRDefault="00DD264B" w:rsidP="00DD264B">
      <w:pPr>
        <w:pStyle w:val="ConsPlusTitle"/>
        <w:jc w:val="center"/>
        <w:rPr>
          <w:rFonts w:ascii="Times New Roman" w:hAnsi="Times New Roman" w:cs="Times New Roman"/>
        </w:rPr>
      </w:pPr>
      <w:r w:rsidRPr="007A30AA">
        <w:rPr>
          <w:rFonts w:ascii="Times New Roman" w:hAnsi="Times New Roman" w:cs="Times New Roman"/>
        </w:rPr>
        <w:t>округа - Югры "Развитие гражданского общества"</w:t>
      </w:r>
    </w:p>
    <w:p w:rsidR="00DD264B" w:rsidRPr="007A30AA" w:rsidRDefault="00DD264B" w:rsidP="00DD264B">
      <w:pPr>
        <w:pStyle w:val="ConsPlusTitle"/>
        <w:jc w:val="center"/>
        <w:rPr>
          <w:rFonts w:ascii="Times New Roman" w:hAnsi="Times New Roman" w:cs="Times New Roman"/>
        </w:rPr>
      </w:pPr>
      <w:r w:rsidRPr="007A30AA">
        <w:rPr>
          <w:rFonts w:ascii="Times New Roman" w:hAnsi="Times New Roman" w:cs="Times New Roman"/>
        </w:rPr>
        <w:t>(далее - государственная программа)</w:t>
      </w:r>
    </w:p>
    <w:p w:rsidR="00DD264B" w:rsidRDefault="00DD264B" w:rsidP="00DD264B">
      <w:pPr>
        <w:pStyle w:val="ConsPlusNormal"/>
        <w:jc w:val="both"/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6946"/>
      </w:tblGrid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Наименование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Развитие гражданского общества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постановление Правительства Ханты-Мансийского автономного округа - Югры от 5 октября 2018 года N 355-п "О государственной программе Ханты-Мансийского автономного округа - Югры "Развитие гражданского общества"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Ответственный исполнитель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Департамент общественных и внешних связей Ханты-Мансийского автономного округа - Югры (далее - Департамент общественных и внешних связей Югры, автономный округ)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Соисполнители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 xml:space="preserve">Департамент недропользования и природных ресурсов автономного округа (далее - </w:t>
            </w:r>
            <w:proofErr w:type="spellStart"/>
            <w:r w:rsidRPr="007A30AA">
              <w:t>Депнедра</w:t>
            </w:r>
            <w:proofErr w:type="spellEnd"/>
            <w:r w:rsidRPr="007A30AA">
              <w:t xml:space="preserve"> и природных ресурсов Югры);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 xml:space="preserve">Департамент промышленности автономного округа (далее - </w:t>
            </w:r>
            <w:proofErr w:type="spellStart"/>
            <w:r w:rsidRPr="007A30AA">
              <w:t>Деппромышленности</w:t>
            </w:r>
            <w:proofErr w:type="spellEnd"/>
            <w:r w:rsidRPr="007A30AA">
              <w:t xml:space="preserve"> Югры);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 xml:space="preserve">Департамент экономического развития автономного округа (далее - </w:t>
            </w:r>
            <w:proofErr w:type="spellStart"/>
            <w:r w:rsidRPr="007A30AA">
              <w:t>Депэкономики</w:t>
            </w:r>
            <w:proofErr w:type="spellEnd"/>
            <w:r w:rsidRPr="007A30AA">
              <w:t xml:space="preserve"> Югры)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Цели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создание условий для развития институтов гражданского общества и реализации гражданских инициатив, формирование культуры открытости в системе государственного управления, установление взаимовыгодного сотрудничества, продвижение автономного округа на межрегиональном и международном уровнях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Задачи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1. Обеспечение поддержки гражданских инициатив.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2. Развитие взаимовыгодных международных и межрегиональных связей, продвижение успехов автономного округа.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3. Обеспечение открытого государственного управления, эффективного информационного взаимодействия власти и общества.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4. Организационное обеспечение реализации государственной программы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181981" w:rsidP="00FB24B9">
            <w:pPr>
              <w:pStyle w:val="ConsPlusNormal"/>
              <w:ind w:firstLine="283"/>
              <w:jc w:val="both"/>
            </w:pPr>
            <w:hyperlink w:anchor="Par333" w:tooltip="Подпрограмма I &quot;Создание условий для развития гражданских инициатив&quot;" w:history="1">
              <w:r w:rsidR="00DD264B" w:rsidRPr="007A30AA">
                <w:t>Подпрограмма I</w:t>
              </w:r>
            </w:hyperlink>
            <w:r w:rsidR="00DD264B" w:rsidRPr="007A30AA">
              <w:t xml:space="preserve"> "Создание условий для развития гражданских инициатив"</w:t>
            </w:r>
          </w:p>
          <w:p w:rsidR="00DD264B" w:rsidRPr="007A30AA" w:rsidRDefault="00181981" w:rsidP="00FB24B9">
            <w:pPr>
              <w:pStyle w:val="ConsPlusNormal"/>
              <w:ind w:firstLine="283"/>
              <w:jc w:val="both"/>
            </w:pPr>
            <w:hyperlink w:anchor="Par544" w:tooltip="Подпрограмма II &quot;Организация и содействие проведению мероприятий по реализации государственной политики реализации внешних связей и экспоиндустрии&quot;" w:history="1">
              <w:r w:rsidR="00DD264B" w:rsidRPr="007A30AA">
                <w:t>Подпрограмма II</w:t>
              </w:r>
            </w:hyperlink>
            <w:r w:rsidR="00DD264B" w:rsidRPr="007A30AA">
              <w:t xml:space="preserve">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="00DD264B" w:rsidRPr="007A30AA">
              <w:t>экспоиндустрии</w:t>
            </w:r>
            <w:proofErr w:type="spellEnd"/>
            <w:r w:rsidR="00DD264B" w:rsidRPr="007A30AA">
              <w:t>"</w:t>
            </w:r>
          </w:p>
          <w:p w:rsidR="00DD264B" w:rsidRPr="007A30AA" w:rsidRDefault="00181981" w:rsidP="00FB24B9">
            <w:pPr>
              <w:pStyle w:val="ConsPlusNormal"/>
              <w:ind w:firstLine="283"/>
              <w:jc w:val="both"/>
            </w:pPr>
            <w:hyperlink w:anchor="Par812" w:tooltip="Подпрограмма III &quot;Обеспечение доступа граждан к информации о социально значимых мероприятиях Ханты-Мансийского автономного округа - Югры&quot;" w:history="1">
              <w:r w:rsidR="00DD264B" w:rsidRPr="007A30AA">
                <w:t>Подпрограмма III</w:t>
              </w:r>
            </w:hyperlink>
            <w:r w:rsidR="00DD264B" w:rsidRPr="007A30AA">
              <w:t xml:space="preserve"> "Обеспечение доступа граждан к информации о социально значимых мероприятиях Ханты-Мансийского автономного округа - Югры"</w:t>
            </w:r>
          </w:p>
          <w:p w:rsidR="00DD264B" w:rsidRPr="007A30AA" w:rsidRDefault="00181981" w:rsidP="00FB24B9">
            <w:pPr>
              <w:pStyle w:val="ConsPlusNormal"/>
              <w:ind w:firstLine="283"/>
              <w:jc w:val="both"/>
            </w:pPr>
            <w:hyperlink w:anchor="Par1025" w:tooltip="Подпрограмма IV &quot;Обеспечение реализации государственной программы&quot;" w:history="1">
              <w:r w:rsidR="00DD264B" w:rsidRPr="007A30AA">
                <w:t>Подпрограмма IV</w:t>
              </w:r>
            </w:hyperlink>
            <w:r w:rsidR="00DD264B" w:rsidRPr="007A30AA">
              <w:t xml:space="preserve"> "Обеспечение реализации государственной программы"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lastRenderedPageBreak/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Портфель проектов "Образование" - 9826,2 тыс. рублей, в том числе:</w:t>
            </w:r>
          </w:p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региональный проект "Социальная активность" - 9826,2 тыс. рублей. Портфель проектов "Международная кооперация и экспорт" - 5737,2 тыс. рублей, в том числе:</w:t>
            </w:r>
          </w:p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региональный проект "Экспорт услуг" - 5737,2 тыс. рублей.</w:t>
            </w:r>
          </w:p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Проект "Создание академической истории Ханты-Мансийского автономного округа - Югры" ("</w:t>
            </w:r>
            <w:proofErr w:type="gramStart"/>
            <w:r w:rsidRPr="007A30AA">
              <w:t>Многовековая</w:t>
            </w:r>
            <w:proofErr w:type="gramEnd"/>
            <w:r w:rsidRPr="007A30AA">
              <w:t xml:space="preserve"> Югра") - 9300 тыс. рублей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Целевые показатели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1. Увеличение количества социально значимых проектов социально ориентированных некоммерческих организаций, получивших государственную поддержку, со 157 до 937 единиц.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2. Увеличение количества работников и добровольцев социально ориентированных некоммерческих организаций, прошедших подготовку и (или) получивших дополнительное профессиональное образование по программам, финансируемым за счет средств бюджета автономного округа, с 635 до  4905 единиц.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3. Увеличение объема информационной поддержки проектов социально ориентированных некоммерческих организаций, получивших государственную поддержку за счет средств бюджета автономного округа на оказание социально значимых услуг и реализацию социально значимых программ, от 0 до 1200 единиц.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 xml:space="preserve">4. </w:t>
            </w:r>
            <w:r w:rsidRPr="007A30AA">
              <w:rPr>
                <w:bCs/>
              </w:rPr>
              <w:t xml:space="preserve">Увеличение количества действующих </w:t>
            </w:r>
            <w:proofErr w:type="spellStart"/>
            <w:r w:rsidRPr="007A30AA">
              <w:rPr>
                <w:bCs/>
              </w:rPr>
              <w:t>микрозаймов</w:t>
            </w:r>
            <w:proofErr w:type="spellEnd"/>
            <w:r w:rsidRPr="007A30AA">
              <w:rPr>
                <w:bCs/>
              </w:rPr>
              <w:t>, предоставленных социально ориентированным некоммерческим организациям с 0 до 20 единиц.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5. Увеличение количества действующих соглашений о сотрудничестве автономного округа с внешними партнерами с 39 до 50 единиц.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6. Увеличение количества международных и межрегиональных проектов, реализуемых с участием исполнительных органов государственной власти и органов местного самоуправления автономного округа, с 36 до 45 единиц.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7. Увеличение доли граждан, идентифицирующих себя с автономным округом, с 0 до 95 процентов.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8. Увеличение количества социально значимых проектов средств массовой информации, получивших государственную поддержку, со 109 до 350 единиц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lastRenderedPageBreak/>
              <w:t>Сроки реализации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2019 - 2025 годы и на период до 2030 года</w:t>
            </w:r>
          </w:p>
        </w:tc>
      </w:tr>
      <w:tr w:rsidR="007A30AA" w:rsidRPr="007A30AA" w:rsidTr="007A30AA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</w:pPr>
            <w:r w:rsidRPr="007A30AA">
              <w:t>Параметры финансового обеспечения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64B" w:rsidRPr="007A30AA" w:rsidRDefault="00DD264B" w:rsidP="00FB24B9">
            <w:pPr>
              <w:pStyle w:val="ConsPlusNormal"/>
              <w:jc w:val="both"/>
            </w:pPr>
            <w:r w:rsidRPr="007A30AA">
              <w:t>общий объем финансирования государственной программы составляет 14748754,9 тыс. рублей, в том числе: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2019 год - 1329599,3 тыс. рублей;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2020 год – 1450095,0 тыс. рублей;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2021 год - 1236034,3 тыс. рублей;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2022 год – 1236034,3 тыс. рублей;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2023 год - 1187124,0 тыс. рублей;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2024 год - 1187124,0 тыс. рублей;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2025 год - 1187124,0 тыс. рублей;</w:t>
            </w:r>
          </w:p>
          <w:p w:rsidR="00DD264B" w:rsidRPr="007A30AA" w:rsidRDefault="00DD264B" w:rsidP="00FB24B9">
            <w:pPr>
              <w:pStyle w:val="ConsPlusNormal"/>
              <w:ind w:firstLine="283"/>
              <w:jc w:val="both"/>
            </w:pPr>
            <w:r w:rsidRPr="007A30AA">
              <w:t>в 2026 - 2030 годах - 5935620,0 тыс. рублей</w:t>
            </w:r>
          </w:p>
        </w:tc>
      </w:tr>
    </w:tbl>
    <w:p w:rsidR="005E1D4D" w:rsidRDefault="005E1D4D" w:rsidP="007A30AA"/>
    <w:sectPr w:rsidR="005E1D4D" w:rsidSect="00181981">
      <w:headerReference w:type="default" r:id="rId7"/>
      <w:pgSz w:w="11906" w:h="16838"/>
      <w:pgMar w:top="1134" w:right="850" w:bottom="1134" w:left="1701" w:header="708" w:footer="708" w:gutter="0"/>
      <w:pgNumType w:start="29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81" w:rsidRDefault="00181981" w:rsidP="00181981">
      <w:pPr>
        <w:spacing w:after="0" w:line="240" w:lineRule="auto"/>
      </w:pPr>
      <w:r>
        <w:separator/>
      </w:r>
    </w:p>
  </w:endnote>
  <w:endnote w:type="continuationSeparator" w:id="0">
    <w:p w:rsidR="00181981" w:rsidRDefault="00181981" w:rsidP="0018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81" w:rsidRDefault="00181981" w:rsidP="00181981">
      <w:pPr>
        <w:spacing w:after="0" w:line="240" w:lineRule="auto"/>
      </w:pPr>
      <w:r>
        <w:separator/>
      </w:r>
    </w:p>
  </w:footnote>
  <w:footnote w:type="continuationSeparator" w:id="0">
    <w:p w:rsidR="00181981" w:rsidRDefault="00181981" w:rsidP="00181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426432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81981" w:rsidRPr="00181981" w:rsidRDefault="00181981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181981">
          <w:rPr>
            <w:rFonts w:ascii="Times New Roman" w:hAnsi="Times New Roman"/>
            <w:sz w:val="24"/>
            <w:szCs w:val="24"/>
          </w:rPr>
          <w:fldChar w:fldCharType="begin"/>
        </w:r>
        <w:r w:rsidRPr="0018198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81981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2915</w:t>
        </w:r>
        <w:r w:rsidRPr="0018198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81981" w:rsidRDefault="001819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E8"/>
    <w:rsid w:val="00055F48"/>
    <w:rsid w:val="00181981"/>
    <w:rsid w:val="00225AE8"/>
    <w:rsid w:val="00313224"/>
    <w:rsid w:val="005E1D4D"/>
    <w:rsid w:val="00661265"/>
    <w:rsid w:val="006F76C2"/>
    <w:rsid w:val="007A30AA"/>
    <w:rsid w:val="00DD264B"/>
    <w:rsid w:val="00DF1C8E"/>
    <w:rsid w:val="00E4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4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2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2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81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981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81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981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4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26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D26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81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81981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81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81981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Шелест Николай Викторович</dc:creator>
  <cp:keywords/>
  <dc:description/>
  <cp:lastModifiedBy>Шубная  Юлия  Петровна</cp:lastModifiedBy>
  <cp:revision>4</cp:revision>
  <dcterms:created xsi:type="dcterms:W3CDTF">2019-10-17T10:10:00Z</dcterms:created>
  <dcterms:modified xsi:type="dcterms:W3CDTF">2019-10-21T06:02:00Z</dcterms:modified>
</cp:coreProperties>
</file>